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75" w:rsidRDefault="00460E43" w:rsidP="00E41829">
      <w:pPr>
        <w:spacing w:after="0"/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36"/>
          <w:szCs w:val="36"/>
          <w:lang w:val="ro-RO" w:eastAsia="ro-RO"/>
        </w:rPr>
        <w:t xml:space="preserve"> </w:t>
      </w:r>
      <w:r w:rsidR="00A23892"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428750" cy="942203"/>
            <wp:effectExtent l="0" t="0" r="0" b="0"/>
            <wp:docPr id="1" name="Picture 1" descr="i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o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ro-RO" w:eastAsia="ro-RO"/>
        </w:rPr>
        <w:t xml:space="preserve">      </w:t>
      </w:r>
      <w:r>
        <w:rPr>
          <w:b/>
          <w:bCs/>
          <w:noProof/>
          <w:sz w:val="36"/>
          <w:szCs w:val="36"/>
          <w:lang w:val="ro-RO" w:eastAsia="ro-RO"/>
        </w:rPr>
        <w:tab/>
      </w:r>
      <w:r w:rsidR="00A23892"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2008899" cy="624194"/>
            <wp:effectExtent l="0" t="0" r="0" b="0"/>
            <wp:docPr id="5" name="Picture 5" descr="C:\Users\mihai\Desktop\Thiem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ai\Desktop\Thieme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99" cy="62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ro-RO" w:eastAsia="ro-RO"/>
        </w:rPr>
        <w:tab/>
        <w:t xml:space="preserve">           </w:t>
      </w:r>
      <w:r w:rsidR="00A23892"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251632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3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43" w:rsidRDefault="00460E43" w:rsidP="00460E43">
      <w:pPr>
        <w:pStyle w:val="Default"/>
        <w:ind w:firstLine="708"/>
        <w:jc w:val="center"/>
        <w:rPr>
          <w:rFonts w:ascii="Arial" w:hAnsi="Arial" w:cs="Arial"/>
          <w:b/>
          <w:bCs/>
          <w:lang w:val="fr-FR"/>
        </w:rPr>
      </w:pPr>
    </w:p>
    <w:p w:rsidR="00460E43" w:rsidRDefault="00460E43" w:rsidP="00460E43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proofErr w:type="spellStart"/>
      <w:proofErr w:type="gramStart"/>
      <w:r w:rsidRPr="004F54E6">
        <w:rPr>
          <w:rFonts w:ascii="Arial" w:hAnsi="Arial" w:cs="Arial"/>
          <w:b/>
          <w:bCs/>
          <w:lang w:val="fr-FR"/>
        </w:rPr>
        <w:t>iGroup</w:t>
      </w:r>
      <w:proofErr w:type="spellEnd"/>
      <w:proofErr w:type="gramEnd"/>
      <w:r w:rsidRPr="004F54E6">
        <w:rPr>
          <w:rFonts w:ascii="Arial" w:hAnsi="Arial" w:cs="Arial"/>
          <w:b/>
          <w:bCs/>
          <w:lang w:val="fr-FR"/>
        </w:rPr>
        <w:t xml:space="preserve"> Rom</w:t>
      </w:r>
      <w:r w:rsidRPr="004F54E6">
        <w:rPr>
          <w:rFonts w:ascii="Arial" w:hAnsi="Arial" w:cs="Arial"/>
          <w:b/>
          <w:bCs/>
          <w:lang w:val="ro-RO"/>
        </w:rPr>
        <w:t xml:space="preserve">ânia </w:t>
      </w:r>
      <w:r w:rsidRPr="004F54E6">
        <w:rPr>
          <w:rFonts w:ascii="Arial" w:hAnsi="Arial" w:cs="Arial"/>
          <w:bCs/>
          <w:lang w:val="ro-RO"/>
        </w:rPr>
        <w:t>împreună cu</w:t>
      </w:r>
      <w:r w:rsidRPr="004F54E6">
        <w:rPr>
          <w:rFonts w:ascii="Arial" w:hAnsi="Arial" w:cs="Arial"/>
          <w:b/>
          <w:bCs/>
          <w:lang w:val="ro-RO"/>
        </w:rPr>
        <w:t xml:space="preserve"> 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Asociaţia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Universităţilor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,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Institutelor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de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Cercetare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–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Dezvoltare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şi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Bibliotecilor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Centrale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Universitare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din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România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</w:p>
    <w:p w:rsidR="00460E43" w:rsidRPr="004F54E6" w:rsidRDefault="00460E43" w:rsidP="00460E43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>„</w:t>
      </w:r>
      <w:proofErr w:type="spellStart"/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>Anelis</w:t>
      </w:r>
      <w:proofErr w:type="spellEnd"/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 xml:space="preserve"> Plus”</w:t>
      </w:r>
    </w:p>
    <w:p w:rsidR="00460E43" w:rsidRPr="004F54E6" w:rsidRDefault="00460E43" w:rsidP="00460E43">
      <w:pPr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4F54E6">
        <w:rPr>
          <w:rFonts w:ascii="Arial" w:hAnsi="Arial" w:cs="Arial"/>
          <w:bCs/>
          <w:sz w:val="24"/>
          <w:szCs w:val="24"/>
          <w:lang w:val="ro-RO"/>
        </w:rPr>
        <w:t xml:space="preserve">vă oferă o perioadă de acces gratuit la </w:t>
      </w:r>
    </w:p>
    <w:p w:rsidR="00DD4002" w:rsidRPr="00460E43" w:rsidRDefault="00DD4002">
      <w:pPr>
        <w:jc w:val="center"/>
        <w:rPr>
          <w:rFonts w:ascii="Arial" w:hAnsi="Arial" w:cs="Arial"/>
          <w:color w:val="auto"/>
          <w:kern w:val="0"/>
          <w:sz w:val="24"/>
          <w:szCs w:val="24"/>
          <w:lang w:val="fr-FR"/>
        </w:rPr>
      </w:pPr>
      <w:r w:rsidRPr="00460E43">
        <w:rPr>
          <w:rFonts w:ascii="Arial" w:hAnsi="Arial" w:cs="Arial"/>
          <w:b/>
          <w:bCs/>
          <w:sz w:val="24"/>
          <w:szCs w:val="24"/>
          <w:lang w:val="ro-RO"/>
        </w:rPr>
        <w:t xml:space="preserve">baza de date </w:t>
      </w:r>
      <w:r w:rsidR="00E41829" w:rsidRPr="00460E43">
        <w:rPr>
          <w:rFonts w:ascii="Arial" w:hAnsi="Arial" w:cs="Arial"/>
          <w:b/>
          <w:bCs/>
          <w:sz w:val="24"/>
          <w:szCs w:val="24"/>
          <w:lang w:val="ro-RO"/>
        </w:rPr>
        <w:t>Thieme</w:t>
      </w:r>
      <w:r w:rsidRPr="00460E43">
        <w:rPr>
          <w:rFonts w:ascii="Arial" w:hAnsi="Arial" w:cs="Arial"/>
          <w:b/>
          <w:bCs/>
          <w:sz w:val="24"/>
          <w:szCs w:val="24"/>
          <w:lang w:val="ro-RO"/>
        </w:rPr>
        <w:t xml:space="preserve"> (</w:t>
      </w:r>
      <w:r w:rsidR="00E41829" w:rsidRPr="00460E43">
        <w:rPr>
          <w:rFonts w:ascii="Arial" w:hAnsi="Arial" w:cs="Arial"/>
          <w:b/>
          <w:bCs/>
          <w:sz w:val="24"/>
          <w:szCs w:val="24"/>
          <w:lang w:val="ro-RO"/>
        </w:rPr>
        <w:t>medicină</w:t>
      </w:r>
      <w:r w:rsidRPr="00460E43">
        <w:rPr>
          <w:rFonts w:ascii="Arial" w:hAnsi="Arial" w:cs="Arial"/>
          <w:b/>
          <w:bCs/>
          <w:sz w:val="24"/>
          <w:szCs w:val="24"/>
          <w:lang w:val="ro-RO"/>
        </w:rPr>
        <w:t>)</w:t>
      </w:r>
    </w:p>
    <w:p w:rsidR="00DD4002" w:rsidRPr="000F4875" w:rsidRDefault="00DD4002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  <w:lang w:val="fr-FR"/>
        </w:rPr>
        <w:sectPr w:rsidR="00DD4002" w:rsidRPr="000F487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41829" w:rsidRPr="007F2537" w:rsidRDefault="00E41829" w:rsidP="00A238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7F2537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Thieme</w:t>
      </w:r>
      <w:proofErr w:type="spellEnd"/>
      <w:r w:rsidR="00973D86" w:rsidRPr="007F2537">
        <w:rPr>
          <w:rFonts w:ascii="Arial" w:hAnsi="Arial" w:cs="Arial"/>
          <w:sz w:val="24"/>
          <w:szCs w:val="24"/>
          <w:lang w:val="ro-RO"/>
        </w:rPr>
        <w:t xml:space="preserve"> </w:t>
      </w:r>
      <w:r w:rsidRPr="007F2537">
        <w:rPr>
          <w:rFonts w:ascii="Arial" w:hAnsi="Arial" w:cs="Arial"/>
          <w:sz w:val="24"/>
          <w:szCs w:val="24"/>
          <w:lang w:val="ro-RO"/>
        </w:rPr>
        <w:t>este un editor de prestigiu internaţional, cu o exp</w:t>
      </w:r>
      <w:r w:rsidR="00411550" w:rsidRPr="007F2537">
        <w:rPr>
          <w:rFonts w:ascii="Arial" w:hAnsi="Arial" w:cs="Arial"/>
          <w:sz w:val="24"/>
          <w:szCs w:val="24"/>
          <w:lang w:val="ro-RO"/>
        </w:rPr>
        <w:t>erienţă de peste 125 de ani, care</w:t>
      </w:r>
      <w:r w:rsidRPr="007F2537">
        <w:rPr>
          <w:rFonts w:ascii="Arial" w:hAnsi="Arial" w:cs="Arial"/>
          <w:sz w:val="24"/>
          <w:szCs w:val="24"/>
          <w:lang w:val="ro-RO"/>
        </w:rPr>
        <w:t xml:space="preserve"> </w:t>
      </w:r>
      <w:r w:rsidR="00126BDF" w:rsidRPr="007F2537">
        <w:rPr>
          <w:rFonts w:ascii="Arial" w:hAnsi="Arial" w:cs="Arial"/>
          <w:sz w:val="24"/>
          <w:szCs w:val="24"/>
          <w:lang w:val="ro-RO"/>
        </w:rPr>
        <w:t>publică informaţie ştiinţifică di</w:t>
      </w:r>
      <w:r w:rsidRPr="007F2537">
        <w:rPr>
          <w:rFonts w:ascii="Arial" w:hAnsi="Arial" w:cs="Arial"/>
          <w:sz w:val="24"/>
          <w:szCs w:val="24"/>
          <w:lang w:val="ro-RO"/>
        </w:rPr>
        <w:t xml:space="preserve">n domenii precum medicină şi chimie. Thieme promovează ultimele noutăţi </w:t>
      </w:r>
      <w:r w:rsidR="00126BDF" w:rsidRPr="007F2537">
        <w:rPr>
          <w:rFonts w:ascii="Arial" w:hAnsi="Arial" w:cs="Arial"/>
          <w:sz w:val="24"/>
          <w:szCs w:val="24"/>
          <w:lang w:val="ro-RO"/>
        </w:rPr>
        <w:t>din</w:t>
      </w:r>
      <w:r w:rsidRPr="007F2537">
        <w:rPr>
          <w:rFonts w:ascii="Arial" w:hAnsi="Arial" w:cs="Arial"/>
          <w:sz w:val="24"/>
          <w:szCs w:val="24"/>
          <w:lang w:val="ro-RO"/>
        </w:rPr>
        <w:t xml:space="preserve"> practica </w:t>
      </w:r>
      <w:r w:rsidR="00460E43" w:rsidRPr="007F2537">
        <w:rPr>
          <w:rFonts w:ascii="Arial" w:hAnsi="Arial" w:cs="Arial"/>
          <w:sz w:val="24"/>
          <w:szCs w:val="24"/>
          <w:lang w:val="ro-RO"/>
        </w:rPr>
        <w:t xml:space="preserve">în </w:t>
      </w:r>
      <w:r w:rsidR="00126BDF" w:rsidRPr="007F2537">
        <w:rPr>
          <w:rFonts w:ascii="Arial" w:hAnsi="Arial" w:cs="Arial"/>
          <w:sz w:val="24"/>
          <w:szCs w:val="24"/>
          <w:lang w:val="ro-RO"/>
        </w:rPr>
        <w:t>clinică</w:t>
      </w:r>
      <w:r w:rsidR="00460E43" w:rsidRPr="007F2537">
        <w:rPr>
          <w:rFonts w:ascii="Arial" w:hAnsi="Arial" w:cs="Arial"/>
          <w:sz w:val="24"/>
          <w:szCs w:val="24"/>
          <w:lang w:val="ro-RO"/>
        </w:rPr>
        <w:t>, sprijină educaţia</w:t>
      </w:r>
      <w:r w:rsidRPr="007F2537">
        <w:rPr>
          <w:rFonts w:ascii="Arial" w:hAnsi="Arial" w:cs="Arial"/>
          <w:sz w:val="24"/>
          <w:szCs w:val="24"/>
          <w:lang w:val="ro-RO"/>
        </w:rPr>
        <w:t xml:space="preserve"> medicală şi este cunoscut pentru înalta calitate</w:t>
      </w:r>
      <w:r w:rsidR="00460E43" w:rsidRPr="007F2537">
        <w:rPr>
          <w:rFonts w:ascii="Arial" w:hAnsi="Arial" w:cs="Arial"/>
          <w:sz w:val="24"/>
          <w:szCs w:val="24"/>
          <w:lang w:val="ro-RO"/>
        </w:rPr>
        <w:t xml:space="preserve"> științifică și pedagogică a cărţilor și </w:t>
      </w:r>
      <w:r w:rsidRPr="007F2537">
        <w:rPr>
          <w:rFonts w:ascii="Arial" w:hAnsi="Arial" w:cs="Arial"/>
          <w:sz w:val="24"/>
          <w:szCs w:val="24"/>
          <w:lang w:val="ro-RO"/>
        </w:rPr>
        <w:t>revistelor</w:t>
      </w:r>
      <w:r w:rsidR="00460E43" w:rsidRPr="007F2537">
        <w:rPr>
          <w:rFonts w:ascii="Arial" w:hAnsi="Arial" w:cs="Arial"/>
          <w:sz w:val="24"/>
          <w:szCs w:val="24"/>
          <w:lang w:val="ro-RO"/>
        </w:rPr>
        <w:t xml:space="preserve"> sale,</w:t>
      </w:r>
      <w:r w:rsidR="00126BDF" w:rsidRPr="007F2537">
        <w:rPr>
          <w:rFonts w:ascii="Arial" w:hAnsi="Arial" w:cs="Arial"/>
          <w:sz w:val="24"/>
          <w:szCs w:val="24"/>
          <w:lang w:val="ro-RO"/>
        </w:rPr>
        <w:t xml:space="preserve"> </w:t>
      </w:r>
      <w:r w:rsidR="00460E43" w:rsidRPr="007F2537">
        <w:rPr>
          <w:rFonts w:ascii="Arial" w:hAnsi="Arial" w:cs="Arial"/>
          <w:sz w:val="24"/>
          <w:szCs w:val="24"/>
          <w:lang w:val="ro-RO"/>
        </w:rPr>
        <w:t xml:space="preserve">inclusiv </w:t>
      </w:r>
      <w:r w:rsidR="00126BDF" w:rsidRPr="007F2537">
        <w:rPr>
          <w:rFonts w:ascii="Arial" w:hAnsi="Arial" w:cs="Arial"/>
          <w:sz w:val="24"/>
          <w:szCs w:val="24"/>
          <w:lang w:val="ro-RO"/>
        </w:rPr>
        <w:t xml:space="preserve">a celor </w:t>
      </w:r>
      <w:r w:rsidR="00460E43" w:rsidRPr="007F2537">
        <w:rPr>
          <w:rFonts w:ascii="Arial" w:hAnsi="Arial" w:cs="Arial"/>
          <w:sz w:val="24"/>
          <w:szCs w:val="24"/>
          <w:lang w:val="ro-RO"/>
        </w:rPr>
        <w:t xml:space="preserve">pe suport </w:t>
      </w:r>
      <w:r w:rsidRPr="007F2537">
        <w:rPr>
          <w:rFonts w:ascii="Arial" w:hAnsi="Arial" w:cs="Arial"/>
          <w:sz w:val="24"/>
          <w:szCs w:val="24"/>
          <w:lang w:val="ro-RO"/>
        </w:rPr>
        <w:t>electronic.</w:t>
      </w:r>
    </w:p>
    <w:p w:rsidR="00460E43" w:rsidRPr="008031C0" w:rsidRDefault="00460E43" w:rsidP="00A238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:rsidR="007F2537" w:rsidRPr="007F2537" w:rsidRDefault="007F2537" w:rsidP="00A2389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proofErr w:type="spellStart"/>
      <w:r w:rsidRPr="007F2537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F2537">
        <w:rPr>
          <w:rFonts w:ascii="Arial" w:hAnsi="Arial" w:cs="Arial"/>
          <w:sz w:val="24"/>
          <w:szCs w:val="24"/>
          <w:lang w:val="fr-FR"/>
        </w:rPr>
        <w:t>cadrul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F2537">
        <w:rPr>
          <w:rFonts w:ascii="Arial" w:hAnsi="Arial" w:cs="Arial"/>
          <w:sz w:val="24"/>
          <w:szCs w:val="24"/>
          <w:lang w:val="fr-FR"/>
        </w:rPr>
        <w:t>acestui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trial </w:t>
      </w:r>
      <w:proofErr w:type="spellStart"/>
      <w:r w:rsidRPr="007F2537">
        <w:rPr>
          <w:rFonts w:ascii="Arial" w:hAnsi="Arial" w:cs="Arial"/>
          <w:b/>
          <w:bCs/>
          <w:sz w:val="24"/>
          <w:szCs w:val="24"/>
          <w:lang w:val="fr-FR"/>
        </w:rPr>
        <w:t>utilizatorii</w:t>
      </w:r>
      <w:proofErr w:type="spellEnd"/>
      <w:r w:rsidRPr="007F2537">
        <w:rPr>
          <w:rFonts w:ascii="Arial" w:hAnsi="Arial" w:cs="Arial"/>
          <w:b/>
          <w:bCs/>
          <w:sz w:val="24"/>
          <w:szCs w:val="24"/>
          <w:lang w:val="fr-FR"/>
        </w:rPr>
        <w:t xml:space="preserve"> pot </w:t>
      </w:r>
      <w:proofErr w:type="spellStart"/>
      <w:r w:rsidRPr="007F2537">
        <w:rPr>
          <w:rFonts w:ascii="Arial" w:hAnsi="Arial" w:cs="Arial"/>
          <w:b/>
          <w:bCs/>
          <w:sz w:val="24"/>
          <w:szCs w:val="24"/>
          <w:lang w:val="fr-FR"/>
        </w:rPr>
        <w:t>accesa</w:t>
      </w:r>
      <w:proofErr w:type="spellEnd"/>
      <w:r w:rsidRPr="007F2537">
        <w:rPr>
          <w:rFonts w:ascii="Arial" w:hAnsi="Arial" w:cs="Arial"/>
          <w:b/>
          <w:bCs/>
          <w:sz w:val="24"/>
          <w:szCs w:val="24"/>
          <w:lang w:val="fr-FR"/>
        </w:rPr>
        <w:t> :</w:t>
      </w:r>
    </w:p>
    <w:p w:rsidR="00B63BBC" w:rsidRPr="007F2537" w:rsidRDefault="00B63BBC" w:rsidP="00A23892">
      <w:pPr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7F2537">
        <w:rPr>
          <w:rFonts w:ascii="Arial" w:hAnsi="Arial" w:cs="Arial"/>
          <w:b/>
          <w:sz w:val="24"/>
          <w:szCs w:val="24"/>
          <w:lang w:val="ro-RO"/>
        </w:rPr>
        <w:t>Thieme medical e</w:t>
      </w:r>
      <w:r w:rsidRPr="007F2537">
        <w:rPr>
          <w:rFonts w:ascii="Arial" w:hAnsi="Arial" w:cs="Arial"/>
          <w:b/>
          <w:sz w:val="24"/>
          <w:szCs w:val="24"/>
          <w:lang w:val="fr-FR"/>
        </w:rPr>
        <w:t>-</w:t>
      </w:r>
      <w:proofErr w:type="spellStart"/>
      <w:r w:rsidRPr="007F2537">
        <w:rPr>
          <w:rFonts w:ascii="Arial" w:hAnsi="Arial" w:cs="Arial"/>
          <w:b/>
          <w:sz w:val="24"/>
          <w:szCs w:val="24"/>
          <w:lang w:val="fr-FR"/>
        </w:rPr>
        <w:t>journals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 – </w:t>
      </w:r>
      <w:proofErr w:type="spellStart"/>
      <w:r w:rsidRPr="007F2537">
        <w:rPr>
          <w:rFonts w:ascii="Arial" w:hAnsi="Arial" w:cs="Arial"/>
          <w:sz w:val="24"/>
          <w:szCs w:val="24"/>
          <w:lang w:val="fr-FR"/>
        </w:rPr>
        <w:t>cuprinde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F2537">
        <w:rPr>
          <w:rFonts w:ascii="Arial" w:hAnsi="Arial" w:cs="Arial"/>
          <w:sz w:val="24"/>
          <w:szCs w:val="24"/>
          <w:lang w:val="fr-FR"/>
        </w:rPr>
        <w:t>cele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140 de </w:t>
      </w:r>
      <w:proofErr w:type="spellStart"/>
      <w:r w:rsidRPr="007F2537">
        <w:rPr>
          <w:rFonts w:ascii="Arial" w:hAnsi="Arial" w:cs="Arial"/>
          <w:sz w:val="24"/>
          <w:szCs w:val="24"/>
          <w:lang w:val="fr-FR"/>
        </w:rPr>
        <w:t>reviste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F2537">
        <w:rPr>
          <w:rFonts w:ascii="Arial" w:hAnsi="Arial" w:cs="Arial"/>
          <w:sz w:val="24"/>
          <w:szCs w:val="24"/>
          <w:lang w:val="fr-FR"/>
        </w:rPr>
        <w:t>Thieme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r w:rsidRPr="007F2537">
        <w:rPr>
          <w:rFonts w:ascii="Arial" w:hAnsi="Arial" w:cs="Arial"/>
          <w:sz w:val="24"/>
          <w:szCs w:val="24"/>
          <w:lang w:val="ro-RO"/>
        </w:rPr>
        <w:t>şi</w:t>
      </w:r>
      <w:r w:rsidRPr="007F2537">
        <w:rPr>
          <w:rFonts w:ascii="Arial" w:hAnsi="Arial" w:cs="Arial"/>
          <w:sz w:val="24"/>
          <w:szCs w:val="24"/>
          <w:lang w:val="fr-FR"/>
        </w:rPr>
        <w:t xml:space="preserve"> este  </w:t>
      </w:r>
      <w:proofErr w:type="spellStart"/>
      <w:r w:rsidR="007F2537" w:rsidRPr="007F2537">
        <w:rPr>
          <w:rFonts w:ascii="Arial" w:hAnsi="Arial" w:cs="Arial"/>
          <w:sz w:val="24"/>
          <w:szCs w:val="24"/>
          <w:lang w:val="fr-FR"/>
        </w:rPr>
        <w:t>a</w:t>
      </w:r>
      <w:r w:rsidRPr="007F2537">
        <w:rPr>
          <w:rFonts w:ascii="Arial" w:hAnsi="Arial" w:cs="Arial"/>
          <w:sz w:val="24"/>
          <w:szCs w:val="24"/>
          <w:lang w:val="fr-FR"/>
        </w:rPr>
        <w:t>ccesibil</w:t>
      </w:r>
      <w:proofErr w:type="spellEnd"/>
      <w:r w:rsidRPr="007F2537">
        <w:rPr>
          <w:rFonts w:ascii="Arial" w:hAnsi="Arial" w:cs="Arial"/>
          <w:sz w:val="24"/>
          <w:szCs w:val="24"/>
          <w:lang w:val="fr-FR"/>
        </w:rPr>
        <w:t xml:space="preserve"> la </w:t>
      </w:r>
      <w:hyperlink r:id="rId9" w:history="1">
        <w:r w:rsidRPr="007F2537">
          <w:rPr>
            <w:rStyle w:val="Hyperlink"/>
            <w:rFonts w:ascii="Arial" w:hAnsi="Arial" w:cs="Arial"/>
            <w:b/>
            <w:color w:val="FF0000"/>
            <w:sz w:val="24"/>
            <w:szCs w:val="24"/>
            <w:lang w:val="ro-RO"/>
          </w:rPr>
          <w:t>http://www.thieme-connect.com/ejournals</w:t>
        </w:r>
      </w:hyperlink>
    </w:p>
    <w:p w:rsidR="007F2537" w:rsidRPr="007F2537" w:rsidRDefault="007F2537" w:rsidP="007F253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B510D6" w:rsidRPr="007F2537" w:rsidRDefault="00B63BBC" w:rsidP="00A23892">
      <w:pPr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7F2537">
        <w:rPr>
          <w:rFonts w:ascii="Arial" w:hAnsi="Arial" w:cs="Arial"/>
          <w:b/>
          <w:sz w:val="24"/>
          <w:szCs w:val="24"/>
        </w:rPr>
        <w:t>Thieme</w:t>
      </w:r>
      <w:proofErr w:type="spellEnd"/>
      <w:r w:rsidRPr="007F2537">
        <w:rPr>
          <w:rFonts w:ascii="Arial" w:hAnsi="Arial" w:cs="Arial"/>
          <w:b/>
          <w:sz w:val="24"/>
          <w:szCs w:val="24"/>
        </w:rPr>
        <w:t xml:space="preserve"> e-book </w:t>
      </w:r>
      <w:proofErr w:type="gramStart"/>
      <w:r w:rsidRPr="007F2537">
        <w:rPr>
          <w:rFonts w:ascii="Arial" w:hAnsi="Arial" w:cs="Arial"/>
          <w:b/>
          <w:sz w:val="24"/>
          <w:szCs w:val="24"/>
        </w:rPr>
        <w:t>library</w:t>
      </w:r>
      <w:r w:rsidRPr="007F2537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7F2537">
        <w:rPr>
          <w:rFonts w:ascii="Arial" w:hAnsi="Arial" w:cs="Arial"/>
          <w:sz w:val="24"/>
          <w:szCs w:val="24"/>
        </w:rPr>
        <w:t xml:space="preserve"> con</w:t>
      </w:r>
      <w:r w:rsidRPr="007F2537">
        <w:rPr>
          <w:rFonts w:ascii="Arial" w:hAnsi="Arial" w:cs="Arial"/>
          <w:sz w:val="24"/>
          <w:szCs w:val="24"/>
          <w:lang w:val="ro-RO"/>
        </w:rPr>
        <w:t>ţine 74 de ebook</w:t>
      </w:r>
      <w:r w:rsidRPr="007F2537">
        <w:rPr>
          <w:rFonts w:ascii="Arial" w:hAnsi="Arial" w:cs="Arial"/>
          <w:sz w:val="24"/>
          <w:szCs w:val="24"/>
        </w:rPr>
        <w:t>-</w:t>
      </w:r>
      <w:proofErr w:type="spellStart"/>
      <w:r w:rsidRPr="007F2537">
        <w:rPr>
          <w:rFonts w:ascii="Arial" w:hAnsi="Arial" w:cs="Arial"/>
          <w:sz w:val="24"/>
          <w:szCs w:val="24"/>
        </w:rPr>
        <w:t>uri</w:t>
      </w:r>
      <w:proofErr w:type="spellEnd"/>
      <w:r w:rsidR="007F2537" w:rsidRPr="007F2537">
        <w:rPr>
          <w:rFonts w:ascii="Arial" w:hAnsi="Arial" w:cs="Arial"/>
          <w:sz w:val="24"/>
          <w:szCs w:val="24"/>
        </w:rPr>
        <w:t>,</w:t>
      </w:r>
      <w:r w:rsidRPr="007F2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537">
        <w:rPr>
          <w:rFonts w:ascii="Arial" w:hAnsi="Arial" w:cs="Arial"/>
          <w:sz w:val="24"/>
          <w:szCs w:val="24"/>
        </w:rPr>
        <w:t>incluz</w:t>
      </w:r>
      <w:proofErr w:type="spellEnd"/>
      <w:r w:rsidRPr="007F2537">
        <w:rPr>
          <w:rFonts w:ascii="Arial" w:hAnsi="Arial" w:cs="Arial"/>
          <w:sz w:val="24"/>
          <w:szCs w:val="24"/>
          <w:lang w:val="ro-RO"/>
        </w:rPr>
        <w:t xml:space="preserve">ând variantele electronice ale cărţilor Thieme din seria </w:t>
      </w:r>
      <w:r w:rsidRPr="007F2537">
        <w:rPr>
          <w:rFonts w:ascii="Arial" w:hAnsi="Arial" w:cs="Arial"/>
          <w:b/>
          <w:sz w:val="24"/>
          <w:szCs w:val="24"/>
          <w:lang w:val="ro-RO"/>
        </w:rPr>
        <w:t>Color Atlases</w:t>
      </w:r>
      <w:r w:rsidRPr="007F2537">
        <w:rPr>
          <w:rFonts w:ascii="Arial" w:hAnsi="Arial" w:cs="Arial"/>
          <w:sz w:val="24"/>
          <w:szCs w:val="24"/>
          <w:lang w:val="ro-RO"/>
        </w:rPr>
        <w:t xml:space="preserve"> şi </w:t>
      </w:r>
      <w:r w:rsidRPr="007F2537">
        <w:rPr>
          <w:rFonts w:ascii="Arial" w:hAnsi="Arial" w:cs="Arial"/>
          <w:b/>
          <w:sz w:val="24"/>
          <w:szCs w:val="24"/>
          <w:lang w:val="ro-RO"/>
        </w:rPr>
        <w:t>Flexibook</w:t>
      </w:r>
      <w:r w:rsidRPr="007F2537">
        <w:rPr>
          <w:rFonts w:ascii="Arial" w:hAnsi="Arial" w:cs="Arial"/>
          <w:sz w:val="24"/>
          <w:szCs w:val="24"/>
          <w:lang w:val="ro-RO"/>
        </w:rPr>
        <w:t>.</w:t>
      </w:r>
    </w:p>
    <w:p w:rsidR="00B63BBC" w:rsidRPr="007F2537" w:rsidRDefault="00B63BBC" w:rsidP="00A23892">
      <w:pPr>
        <w:spacing w:after="0" w:line="240" w:lineRule="auto"/>
        <w:ind w:left="426"/>
        <w:rPr>
          <w:rFonts w:ascii="Arial" w:hAnsi="Arial" w:cs="Arial"/>
          <w:b/>
          <w:color w:val="FF0000"/>
          <w:sz w:val="24"/>
          <w:szCs w:val="24"/>
          <w:lang w:val="ro-RO"/>
        </w:rPr>
      </w:pPr>
      <w:proofErr w:type="spellStart"/>
      <w:r w:rsidRPr="007F2537">
        <w:rPr>
          <w:rFonts w:ascii="Arial" w:hAnsi="Arial" w:cs="Arial"/>
          <w:b/>
          <w:color w:val="FF0000"/>
          <w:sz w:val="24"/>
          <w:szCs w:val="24"/>
          <w:lang w:val="fr-FR"/>
        </w:rPr>
        <w:t>Accesibil</w:t>
      </w:r>
      <w:proofErr w:type="spellEnd"/>
      <w:r w:rsidRPr="007F2537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la </w:t>
      </w:r>
      <w:hyperlink r:id="rId10" w:history="1">
        <w:r w:rsidRPr="007F2537">
          <w:rPr>
            <w:rStyle w:val="Hyperlink"/>
            <w:rFonts w:ascii="Arial" w:hAnsi="Arial" w:cs="Arial"/>
            <w:b/>
            <w:color w:val="FF0000"/>
            <w:sz w:val="24"/>
            <w:szCs w:val="24"/>
            <w:lang w:val="ro-RO"/>
          </w:rPr>
          <w:t>http://ebooks.thieme.com/</w:t>
        </w:r>
      </w:hyperlink>
    </w:p>
    <w:p w:rsidR="007F2537" w:rsidRPr="007F2537" w:rsidRDefault="007F2537" w:rsidP="007F2537">
      <w:pPr>
        <w:spacing w:after="0" w:line="240" w:lineRule="auto"/>
        <w:ind w:left="426"/>
        <w:rPr>
          <w:rFonts w:ascii="Arial" w:hAnsi="Arial" w:cs="Arial"/>
          <w:sz w:val="24"/>
          <w:szCs w:val="24"/>
          <w:lang w:val="fr-FR"/>
        </w:rPr>
      </w:pPr>
    </w:p>
    <w:p w:rsidR="00B510D6" w:rsidRPr="007F2537" w:rsidRDefault="00B63BBC" w:rsidP="00A23892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fr-FR"/>
        </w:rPr>
      </w:pPr>
      <w:proofErr w:type="spellStart"/>
      <w:r w:rsidRPr="007F2537">
        <w:rPr>
          <w:rFonts w:ascii="Arial" w:hAnsi="Arial" w:cs="Arial"/>
          <w:b/>
          <w:sz w:val="24"/>
          <w:szCs w:val="24"/>
          <w:lang w:val="fr-FR"/>
        </w:rPr>
        <w:t>Thieme</w:t>
      </w:r>
      <w:proofErr w:type="spellEnd"/>
      <w:r w:rsidRPr="007F2537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7F2537">
        <w:rPr>
          <w:rFonts w:ascii="Arial" w:hAnsi="Arial" w:cs="Arial"/>
          <w:b/>
          <w:sz w:val="24"/>
          <w:szCs w:val="24"/>
          <w:lang w:val="fr-FR"/>
        </w:rPr>
        <w:t>Clinical</w:t>
      </w:r>
      <w:proofErr w:type="spellEnd"/>
      <w:r w:rsidRPr="007F2537">
        <w:rPr>
          <w:rFonts w:ascii="Arial" w:hAnsi="Arial" w:cs="Arial"/>
          <w:b/>
          <w:sz w:val="24"/>
          <w:szCs w:val="24"/>
          <w:lang w:val="fr-FR"/>
        </w:rPr>
        <w:t xml:space="preserve"> Collections</w:t>
      </w:r>
      <w:r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r w:rsidR="007F2537"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r w:rsidRPr="007F2537">
        <w:rPr>
          <w:rFonts w:ascii="Arial" w:hAnsi="Arial" w:cs="Arial"/>
          <w:sz w:val="24"/>
          <w:szCs w:val="24"/>
          <w:lang w:val="fr-FR"/>
        </w:rPr>
        <w:t>-</w:t>
      </w:r>
      <w:r w:rsidR="007F2537" w:rsidRPr="007F2537">
        <w:rPr>
          <w:rFonts w:ascii="Arial" w:hAnsi="Arial" w:cs="Arial"/>
          <w:sz w:val="24"/>
          <w:szCs w:val="24"/>
          <w:lang w:val="fr-FR"/>
        </w:rPr>
        <w:t xml:space="preserve"> </w:t>
      </w:r>
      <w:r w:rsidRPr="007F2537">
        <w:rPr>
          <w:rFonts w:ascii="Arial" w:hAnsi="Arial" w:cs="Arial"/>
          <w:sz w:val="24"/>
          <w:szCs w:val="24"/>
          <w:lang w:val="fr-FR"/>
        </w:rPr>
        <w:t xml:space="preserve"> con</w:t>
      </w:r>
      <w:r w:rsidRPr="007F2537">
        <w:rPr>
          <w:rFonts w:ascii="Arial" w:hAnsi="Arial" w:cs="Arial"/>
          <w:sz w:val="24"/>
          <w:szCs w:val="24"/>
          <w:lang w:val="ro-RO"/>
        </w:rPr>
        <w:t xml:space="preserve">ţine 466 de titluri </w:t>
      </w:r>
      <w:proofErr w:type="gramStart"/>
      <w:r w:rsidR="00A23892" w:rsidRPr="007F2537">
        <w:rPr>
          <w:rFonts w:ascii="Arial" w:hAnsi="Arial" w:cs="Arial"/>
          <w:sz w:val="24"/>
          <w:szCs w:val="24"/>
          <w:lang w:val="ro-RO"/>
        </w:rPr>
        <w:t>de ebook</w:t>
      </w:r>
      <w:r w:rsidR="00A23892" w:rsidRPr="007F2537">
        <w:rPr>
          <w:rFonts w:ascii="Arial" w:hAnsi="Arial" w:cs="Arial"/>
          <w:sz w:val="24"/>
          <w:szCs w:val="24"/>
        </w:rPr>
        <w:t>-</w:t>
      </w:r>
      <w:proofErr w:type="spellStart"/>
      <w:r w:rsidR="00A23892" w:rsidRPr="007F2537">
        <w:rPr>
          <w:rFonts w:ascii="Arial" w:hAnsi="Arial" w:cs="Arial"/>
          <w:sz w:val="24"/>
          <w:szCs w:val="24"/>
        </w:rPr>
        <w:t>uri</w:t>
      </w:r>
      <w:proofErr w:type="spellEnd"/>
      <w:proofErr w:type="gramEnd"/>
      <w:r w:rsidR="00A23892" w:rsidRPr="007F25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892" w:rsidRPr="007F2537">
        <w:rPr>
          <w:rFonts w:ascii="Arial" w:hAnsi="Arial" w:cs="Arial"/>
          <w:sz w:val="24"/>
          <w:szCs w:val="24"/>
        </w:rPr>
        <w:t>Thieme</w:t>
      </w:r>
      <w:proofErr w:type="spellEnd"/>
      <w:r w:rsidR="00A23892" w:rsidRPr="007F2537">
        <w:rPr>
          <w:rFonts w:ascii="Arial" w:hAnsi="Arial" w:cs="Arial"/>
          <w:sz w:val="24"/>
          <w:szCs w:val="24"/>
        </w:rPr>
        <w:t xml:space="preserve">, </w:t>
      </w:r>
      <w:r w:rsidR="007F2537" w:rsidRPr="007F2537">
        <w:rPr>
          <w:rFonts w:ascii="Arial" w:hAnsi="Arial" w:cs="Arial"/>
          <w:sz w:val="24"/>
          <w:szCs w:val="24"/>
          <w:lang w:val="ro-RO"/>
        </w:rPr>
        <w:t>grupate în opt colecţii</w:t>
      </w:r>
      <w:r w:rsidRPr="007F2537">
        <w:rPr>
          <w:rFonts w:ascii="Arial" w:hAnsi="Arial" w:cs="Arial"/>
          <w:sz w:val="24"/>
          <w:szCs w:val="24"/>
          <w:lang w:val="ro-RO"/>
        </w:rPr>
        <w:t xml:space="preserve"> organizate cronologic</w:t>
      </w:r>
      <w:r w:rsidR="00A23892" w:rsidRPr="007F2537">
        <w:rPr>
          <w:rFonts w:ascii="Arial" w:hAnsi="Arial" w:cs="Arial"/>
          <w:sz w:val="24"/>
          <w:szCs w:val="24"/>
          <w:lang w:val="ro-RO"/>
        </w:rPr>
        <w:t>.</w:t>
      </w:r>
    </w:p>
    <w:p w:rsidR="00B63BBC" w:rsidRPr="007F2537" w:rsidRDefault="00A23892" w:rsidP="00A23892">
      <w:pPr>
        <w:spacing w:line="240" w:lineRule="auto"/>
        <w:ind w:firstLine="426"/>
        <w:rPr>
          <w:rFonts w:ascii="Arial" w:hAnsi="Arial" w:cs="Arial"/>
          <w:color w:val="FF0000"/>
          <w:sz w:val="24"/>
          <w:szCs w:val="24"/>
          <w:lang w:val="fr-FR"/>
        </w:rPr>
      </w:pPr>
      <w:proofErr w:type="spellStart"/>
      <w:r w:rsidRPr="007F2537">
        <w:rPr>
          <w:rFonts w:ascii="Arial" w:hAnsi="Arial" w:cs="Arial"/>
          <w:color w:val="000000" w:themeColor="text1"/>
          <w:sz w:val="24"/>
          <w:szCs w:val="24"/>
          <w:lang w:val="fr-FR"/>
        </w:rPr>
        <w:t>Accesibil</w:t>
      </w:r>
      <w:proofErr w:type="spellEnd"/>
      <w:r w:rsidRPr="007F2537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la</w:t>
      </w:r>
      <w:r w:rsidRPr="007F2537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hyperlink r:id="rId11" w:history="1">
        <w:r w:rsidRPr="007F2537">
          <w:rPr>
            <w:rStyle w:val="Hyperlink"/>
            <w:rFonts w:ascii="Arial" w:hAnsi="Arial" w:cs="Arial"/>
            <w:color w:val="FF0000"/>
            <w:sz w:val="24"/>
            <w:szCs w:val="24"/>
            <w:lang w:val="ro-RO"/>
          </w:rPr>
          <w:t>https://www.thieme-connect.com/products/ebooks/books?sort=AUTHOR&amp;query=*&amp;lang=en&amp;facetValues[]=thieme_elibrary_name%3DThieme+Clinical+Collection+%28English+Language%29&amp;offset=0</w:t>
        </w:r>
      </w:hyperlink>
      <w:r w:rsidRPr="007F2537">
        <w:rPr>
          <w:rFonts w:ascii="Arial" w:hAnsi="Arial" w:cs="Arial"/>
          <w:color w:val="FF0000"/>
          <w:sz w:val="24"/>
          <w:szCs w:val="24"/>
          <w:lang w:val="ro-RO"/>
        </w:rPr>
        <w:t>&lt;</w:t>
      </w:r>
      <w:hyperlink r:id="rId12" w:history="1">
        <w:r w:rsidR="007F2537" w:rsidRPr="007F2537">
          <w:rPr>
            <w:rStyle w:val="Hyperlink"/>
            <w:rFonts w:ascii="Arial" w:hAnsi="Arial" w:cs="Arial"/>
            <w:color w:val="FF0000"/>
            <w:sz w:val="24"/>
            <w:szCs w:val="24"/>
            <w:lang w:val="ro-RO"/>
          </w:rPr>
          <w:t>https://www.thieme-connect.com/products/ebooks/books?sort=AUTHOR&amp;query=*&amp;lang=en&amp;facetValues%5b%5d=thieme_elibrary_name%3DThieme+Clinical+Collection+%28English+Language%29&amp;offset=0</w:t>
        </w:r>
      </w:hyperlink>
    </w:p>
    <w:p w:rsidR="00DD4002" w:rsidRPr="00AC0421" w:rsidRDefault="00DD4002" w:rsidP="008031C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AC0421">
        <w:rPr>
          <w:rFonts w:ascii="Arial" w:hAnsi="Arial" w:cs="Arial"/>
          <w:sz w:val="24"/>
          <w:szCs w:val="24"/>
          <w:lang w:val="fr-FR"/>
        </w:rPr>
        <w:t>Accesul</w:t>
      </w:r>
      <w:proofErr w:type="spellEnd"/>
      <w:r w:rsidRPr="00AC0421">
        <w:rPr>
          <w:rFonts w:ascii="Arial" w:hAnsi="Arial" w:cs="Arial"/>
          <w:sz w:val="24"/>
          <w:szCs w:val="24"/>
          <w:lang w:val="fr-FR"/>
        </w:rPr>
        <w:t xml:space="preserve"> este </w:t>
      </w:r>
      <w:proofErr w:type="spellStart"/>
      <w:r w:rsidRPr="00AC0421">
        <w:rPr>
          <w:rFonts w:ascii="Arial" w:hAnsi="Arial" w:cs="Arial"/>
          <w:sz w:val="24"/>
          <w:szCs w:val="24"/>
          <w:lang w:val="fr-FR"/>
        </w:rPr>
        <w:t>disponibil</w:t>
      </w:r>
      <w:proofErr w:type="spellEnd"/>
      <w:r w:rsidRPr="00AC042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C0421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AC042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C0421">
        <w:rPr>
          <w:rFonts w:ascii="Arial" w:hAnsi="Arial" w:cs="Arial"/>
          <w:sz w:val="24"/>
          <w:szCs w:val="24"/>
          <w:lang w:val="fr-FR"/>
        </w:rPr>
        <w:t>baz</w:t>
      </w:r>
      <w:proofErr w:type="spellEnd"/>
      <w:r w:rsidR="00CF399F" w:rsidRPr="00AC0421">
        <w:rPr>
          <w:rFonts w:ascii="Arial" w:hAnsi="Arial" w:cs="Arial"/>
          <w:sz w:val="24"/>
          <w:szCs w:val="24"/>
          <w:lang w:val="ro-RO"/>
        </w:rPr>
        <w:t xml:space="preserve">ă </w:t>
      </w:r>
      <w:proofErr w:type="gramStart"/>
      <w:r w:rsidR="00CF399F" w:rsidRPr="00AC0421">
        <w:rPr>
          <w:rFonts w:ascii="Arial" w:hAnsi="Arial" w:cs="Arial"/>
          <w:sz w:val="24"/>
          <w:szCs w:val="24"/>
          <w:lang w:val="ro-RO"/>
        </w:rPr>
        <w:t xml:space="preserve">de </w:t>
      </w:r>
      <w:r w:rsidRPr="00AC0421">
        <w:rPr>
          <w:rFonts w:ascii="Arial" w:hAnsi="Arial" w:cs="Arial"/>
          <w:sz w:val="24"/>
          <w:szCs w:val="24"/>
          <w:lang w:val="ro-RO"/>
        </w:rPr>
        <w:t>IP</w:t>
      </w:r>
      <w:proofErr w:type="gramEnd"/>
      <w:r w:rsidRPr="00AC0421">
        <w:rPr>
          <w:rFonts w:ascii="Arial" w:hAnsi="Arial" w:cs="Arial"/>
          <w:sz w:val="24"/>
          <w:szCs w:val="24"/>
          <w:lang w:val="ro-RO"/>
        </w:rPr>
        <w:t>, de pe orice calculator din reţeaua instituţională.</w:t>
      </w:r>
    </w:p>
    <w:p w:rsidR="00DD4002" w:rsidRPr="00AC0421" w:rsidRDefault="00A23892" w:rsidP="008031C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AC0421">
        <w:rPr>
          <w:rFonts w:ascii="Arial" w:hAnsi="Arial" w:cs="Arial"/>
          <w:sz w:val="24"/>
          <w:szCs w:val="24"/>
          <w:lang w:val="ro-RO"/>
        </w:rPr>
        <w:t>Mai multe informaţii</w:t>
      </w:r>
      <w:r w:rsidR="007F2537" w:rsidRPr="00AC0421">
        <w:rPr>
          <w:rFonts w:ascii="Arial" w:hAnsi="Arial" w:cs="Arial"/>
          <w:sz w:val="24"/>
          <w:szCs w:val="24"/>
          <w:lang w:val="ro-RO"/>
        </w:rPr>
        <w:t>,</w:t>
      </w:r>
      <w:r w:rsidRPr="00AC0421">
        <w:rPr>
          <w:rFonts w:ascii="Arial" w:hAnsi="Arial" w:cs="Arial"/>
          <w:sz w:val="24"/>
          <w:szCs w:val="24"/>
          <w:lang w:val="ro-RO"/>
        </w:rPr>
        <w:t xml:space="preserve"> precum şi</w:t>
      </w:r>
      <w:r w:rsidR="00DD4002" w:rsidRPr="00AC0421">
        <w:rPr>
          <w:rFonts w:ascii="Arial" w:hAnsi="Arial" w:cs="Arial"/>
          <w:sz w:val="24"/>
          <w:szCs w:val="24"/>
          <w:lang w:val="ro-RO"/>
        </w:rPr>
        <w:t xml:space="preserve"> </w:t>
      </w:r>
      <w:r w:rsidRPr="00AC0421">
        <w:rPr>
          <w:rFonts w:ascii="Arial" w:hAnsi="Arial" w:cs="Arial"/>
          <w:b/>
          <w:bCs/>
          <w:sz w:val="24"/>
          <w:szCs w:val="24"/>
          <w:lang w:val="ro-RO"/>
        </w:rPr>
        <w:t>Ghiduri</w:t>
      </w:r>
      <w:r w:rsidR="00DD4002" w:rsidRPr="00AC0421">
        <w:rPr>
          <w:rFonts w:ascii="Arial" w:hAnsi="Arial" w:cs="Arial"/>
          <w:b/>
          <w:bCs/>
          <w:sz w:val="24"/>
          <w:szCs w:val="24"/>
          <w:lang w:val="ro-RO"/>
        </w:rPr>
        <w:t xml:space="preserve"> de utilizare </w:t>
      </w:r>
      <w:r w:rsidR="007F2537" w:rsidRPr="00AC0421">
        <w:rPr>
          <w:rFonts w:ascii="Arial" w:hAnsi="Arial" w:cs="Arial"/>
          <w:sz w:val="24"/>
          <w:szCs w:val="24"/>
          <w:lang w:val="ro-RO"/>
        </w:rPr>
        <w:t>care</w:t>
      </w:r>
      <w:r w:rsidR="00DD4002" w:rsidRPr="00AC0421">
        <w:rPr>
          <w:rFonts w:ascii="Arial" w:hAnsi="Arial" w:cs="Arial"/>
          <w:sz w:val="24"/>
          <w:szCs w:val="24"/>
          <w:lang w:val="ro-RO"/>
        </w:rPr>
        <w:t xml:space="preserve"> prezintă metodele de regăsire a i</w:t>
      </w:r>
      <w:r w:rsidR="007F2537" w:rsidRPr="00AC0421">
        <w:rPr>
          <w:rFonts w:ascii="Arial" w:hAnsi="Arial" w:cs="Arial"/>
          <w:sz w:val="24"/>
          <w:szCs w:val="24"/>
          <w:lang w:val="ro-RO"/>
        </w:rPr>
        <w:t xml:space="preserve">nformaţiei şi funcţionalităţile </w:t>
      </w:r>
      <w:r w:rsidRPr="00AC0421">
        <w:rPr>
          <w:rFonts w:ascii="Arial" w:hAnsi="Arial" w:cs="Arial"/>
          <w:sz w:val="24"/>
          <w:szCs w:val="24"/>
          <w:lang w:val="ro-RO"/>
        </w:rPr>
        <w:t>bazei de date Thieme</w:t>
      </w:r>
      <w:r w:rsidR="007F2537" w:rsidRPr="00AC0421">
        <w:rPr>
          <w:rFonts w:ascii="Arial" w:hAnsi="Arial" w:cs="Arial"/>
          <w:sz w:val="24"/>
          <w:szCs w:val="24"/>
          <w:lang w:val="ro-RO"/>
        </w:rPr>
        <w:t>,</w:t>
      </w:r>
      <w:r w:rsidRPr="00AC0421">
        <w:rPr>
          <w:rFonts w:ascii="Arial" w:hAnsi="Arial" w:cs="Arial"/>
          <w:sz w:val="24"/>
          <w:szCs w:val="24"/>
          <w:lang w:val="ro-RO"/>
        </w:rPr>
        <w:t xml:space="preserve"> găsi</w:t>
      </w:r>
      <w:r w:rsidR="007F2537" w:rsidRPr="00AC0421">
        <w:rPr>
          <w:rFonts w:ascii="Arial" w:hAnsi="Arial" w:cs="Arial"/>
          <w:sz w:val="24"/>
          <w:szCs w:val="24"/>
          <w:lang w:val="ro-RO"/>
        </w:rPr>
        <w:t>ți</w:t>
      </w:r>
      <w:r w:rsidRPr="00AC0421">
        <w:rPr>
          <w:rFonts w:ascii="Arial" w:hAnsi="Arial" w:cs="Arial"/>
          <w:sz w:val="24"/>
          <w:szCs w:val="24"/>
          <w:lang w:val="ro-RO"/>
        </w:rPr>
        <w:t xml:space="preserve"> la:</w:t>
      </w:r>
    </w:p>
    <w:p w:rsidR="008031C0" w:rsidRPr="00AC0421" w:rsidRDefault="00AC0421" w:rsidP="007F2537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hyperlink r:id="rId13" w:history="1">
        <w:r w:rsidR="00A23892" w:rsidRPr="00AC0421">
          <w:rPr>
            <w:rStyle w:val="Hyperlink"/>
            <w:rFonts w:ascii="Arial" w:hAnsi="Arial" w:cs="Arial"/>
            <w:sz w:val="24"/>
            <w:szCs w:val="24"/>
            <w:lang w:val="ro-RO"/>
          </w:rPr>
          <w:t>https://www.thieme.de/en/thieme-connect/product-information-13542.htm</w:t>
        </w:r>
      </w:hyperlink>
    </w:p>
    <w:p w:rsidR="00DD4002" w:rsidRPr="00AC0421" w:rsidRDefault="00DD4002" w:rsidP="008031C0">
      <w:pPr>
        <w:spacing w:after="0"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AC0421">
        <w:rPr>
          <w:rFonts w:ascii="Arial" w:hAnsi="Arial" w:cs="Arial"/>
          <w:b/>
          <w:bCs/>
          <w:sz w:val="24"/>
          <w:szCs w:val="24"/>
          <w:lang w:val="ro-RO"/>
        </w:rPr>
        <w:t xml:space="preserve">Accesul gratuit va fi disponibil </w:t>
      </w:r>
      <w:r w:rsidR="00A23892" w:rsidRPr="00AC0421">
        <w:rPr>
          <w:rFonts w:ascii="Arial" w:hAnsi="Arial" w:cs="Arial"/>
          <w:b/>
          <w:bCs/>
          <w:sz w:val="24"/>
          <w:szCs w:val="24"/>
          <w:lang w:val="ro-RO"/>
        </w:rPr>
        <w:t>în perioada 7.10 şi 30.11.</w:t>
      </w:r>
      <w:r w:rsidRPr="00AC0421">
        <w:rPr>
          <w:rFonts w:ascii="Arial" w:hAnsi="Arial" w:cs="Arial"/>
          <w:b/>
          <w:bCs/>
          <w:sz w:val="24"/>
          <w:szCs w:val="24"/>
          <w:lang w:val="ro-RO"/>
        </w:rPr>
        <w:t>2014</w:t>
      </w:r>
      <w:r w:rsidR="00A23892" w:rsidRPr="00AC0421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AC0421" w:rsidRDefault="00AC0421" w:rsidP="00AC04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 xml:space="preserve">Pentru detalii suplimentare: </w:t>
      </w:r>
    </w:p>
    <w:p w:rsidR="00AC0421" w:rsidRDefault="00AC0421" w:rsidP="00AC04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>Mihai</w:t>
      </w:r>
      <w:r>
        <w:rPr>
          <w:rFonts w:ascii="Arial" w:hAnsi="Arial" w:cs="Arial"/>
          <w:sz w:val="24"/>
          <w:szCs w:val="24"/>
          <w:lang w:val="ro-RO"/>
        </w:rPr>
        <w:t xml:space="preserve"> Constantinescu, iGroup Romania</w:t>
      </w:r>
    </w:p>
    <w:p w:rsidR="00DD4002" w:rsidRPr="000F4875" w:rsidRDefault="00AC0421" w:rsidP="00AC0421">
      <w:pPr>
        <w:rPr>
          <w:sz w:val="32"/>
          <w:szCs w:val="32"/>
          <w:lang w:val="fr-FR"/>
        </w:rPr>
      </w:pPr>
      <w:hyperlink r:id="rId14" w:history="1">
        <w:r w:rsidRPr="003D279D">
          <w:rPr>
            <w:rStyle w:val="Hyperlink"/>
            <w:rFonts w:ascii="Arial" w:hAnsi="Arial" w:cs="Arial"/>
            <w:sz w:val="24"/>
            <w:szCs w:val="24"/>
            <w:lang w:val="fr-FR"/>
          </w:rPr>
          <w:t>constantin.mihai.escu@gmail.com</w:t>
        </w:r>
      </w:hyperlink>
      <w:bookmarkStart w:id="0" w:name="_GoBack"/>
      <w:bookmarkEnd w:id="0"/>
    </w:p>
    <w:sectPr w:rsidR="00DD4002" w:rsidRPr="000F4875" w:rsidSect="00DD40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8BA"/>
    <w:multiLevelType w:val="hybridMultilevel"/>
    <w:tmpl w:val="12E8ADF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7E8002F"/>
    <w:multiLevelType w:val="hybridMultilevel"/>
    <w:tmpl w:val="6FB0261A"/>
    <w:lvl w:ilvl="0" w:tplc="3FCE4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C2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5438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6830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A8F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2C8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B89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624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F00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8CA5DA6"/>
    <w:multiLevelType w:val="hybridMultilevel"/>
    <w:tmpl w:val="F5EA9C68"/>
    <w:lvl w:ilvl="0" w:tplc="BB5063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BC1B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90F6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40C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AE7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084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2A0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52B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76D4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981AC1"/>
    <w:multiLevelType w:val="hybridMultilevel"/>
    <w:tmpl w:val="4DD2C38A"/>
    <w:lvl w:ilvl="0" w:tplc="35DC9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5212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A2E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82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2A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2EB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AE93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0B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488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4002"/>
    <w:rsid w:val="000F4875"/>
    <w:rsid w:val="00126BDF"/>
    <w:rsid w:val="00232C5D"/>
    <w:rsid w:val="00411550"/>
    <w:rsid w:val="00460E43"/>
    <w:rsid w:val="005D70B3"/>
    <w:rsid w:val="0074199F"/>
    <w:rsid w:val="007F2537"/>
    <w:rsid w:val="008031C0"/>
    <w:rsid w:val="00973D86"/>
    <w:rsid w:val="00A23892"/>
    <w:rsid w:val="00AC0421"/>
    <w:rsid w:val="00AD62C4"/>
    <w:rsid w:val="00B158EF"/>
    <w:rsid w:val="00B17F39"/>
    <w:rsid w:val="00B510D6"/>
    <w:rsid w:val="00B63BBC"/>
    <w:rsid w:val="00CF399F"/>
    <w:rsid w:val="00DD4002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39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BBC"/>
    <w:pPr>
      <w:widowControl/>
      <w:overflowPunct/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C4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460E4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BBC"/>
    <w:pPr>
      <w:widowControl/>
      <w:overflowPunct/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C4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4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091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180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thieme.de/en/thieme-connect/product-information-13542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thieme-connect.com/products/ebooks/books?sort=AUTHOR&amp;query=*&amp;lang=en&amp;facetValues%5b%5d=thieme_elibrary_name%3DThieme+Clinical+Collection+%28English+Language%29&amp;offset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thieme-connect.com/products/ebooks/books?sort=AUTHOR&amp;query=*&amp;lang=en&amp;facetValues%5b%5d=thieme_elibrary_name%3DThieme+Clinical+Collection+%28English+Language%29&amp;offset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books.thiem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ieme-connect.com/ejournals" TargetMode="External"/><Relationship Id="rId14" Type="http://schemas.openxmlformats.org/officeDocument/2006/relationships/hyperlink" Target="mailto:constantin.mihai.esc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6</cp:revision>
  <dcterms:created xsi:type="dcterms:W3CDTF">2014-10-10T07:03:00Z</dcterms:created>
  <dcterms:modified xsi:type="dcterms:W3CDTF">2014-10-17T15:56:00Z</dcterms:modified>
</cp:coreProperties>
</file>